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DF5D" w14:textId="77777777" w:rsidR="00857652" w:rsidRPr="00043785" w:rsidRDefault="00857652" w:rsidP="00043785">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14:ligatures w14:val="none"/>
        </w:rPr>
      </w:pPr>
      <w:r w:rsidRPr="00043785">
        <w:rPr>
          <w:rFonts w:ascii="Times New Roman" w:eastAsia="Times New Roman" w:hAnsi="Times New Roman" w:cs="Times New Roman"/>
          <w:b/>
          <w:bCs/>
          <w:kern w:val="36"/>
          <w:sz w:val="32"/>
          <w:szCs w:val="32"/>
          <w:u w:val="single"/>
          <w14:ligatures w14:val="none"/>
        </w:rPr>
        <w:t>UNIVERSITY OF KURDISTAN HEWLER (UKH)</w:t>
      </w:r>
    </w:p>
    <w:p w14:paraId="3BC994E1" w14:textId="77777777" w:rsidR="00857652" w:rsidRPr="00043785" w:rsidRDefault="00857652" w:rsidP="00043785">
      <w:pPr>
        <w:spacing w:before="100" w:beforeAutospacing="1" w:after="100" w:afterAutospacing="1" w:line="240" w:lineRule="auto"/>
        <w:jc w:val="center"/>
        <w:outlineLvl w:val="1"/>
        <w:rPr>
          <w:rFonts w:ascii="Times New Roman" w:eastAsia="Times New Roman" w:hAnsi="Times New Roman" w:cs="Times New Roman"/>
          <w:b/>
          <w:bCs/>
          <w:kern w:val="0"/>
          <w:sz w:val="28"/>
          <w:szCs w:val="28"/>
          <w:u w:val="single"/>
          <w14:ligatures w14:val="none"/>
        </w:rPr>
      </w:pPr>
      <w:r w:rsidRPr="00043785">
        <w:rPr>
          <w:rFonts w:ascii="Times New Roman" w:eastAsia="Times New Roman" w:hAnsi="Times New Roman" w:cs="Times New Roman"/>
          <w:b/>
          <w:bCs/>
          <w:kern w:val="0"/>
          <w:sz w:val="28"/>
          <w:szCs w:val="28"/>
          <w:u w:val="single"/>
          <w14:ligatures w14:val="none"/>
        </w:rPr>
        <w:t>INVITATION TO TENDER</w:t>
      </w:r>
    </w:p>
    <w:p w14:paraId="3F614804"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Provision of Health Insurance for Full-Time Staff – FY2026/27</w:t>
      </w:r>
    </w:p>
    <w:p w14:paraId="1214A57C" w14:textId="7E791405"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University of Kurdistan Hewler (UKH) invites suitably qualified, licensed and experienced insurance companies to submit proposals for the provision of</w:t>
      </w:r>
      <w:r w:rsidR="00C1556C">
        <w:rPr>
          <w:rFonts w:ascii="Times New Roman" w:eastAsia="Times New Roman" w:hAnsi="Times New Roman" w:cs="Times New Roman"/>
          <w:kern w:val="0"/>
          <w14:ligatures w14:val="none"/>
        </w:rPr>
        <w:t xml:space="preserve"> </w:t>
      </w:r>
      <w:r w:rsidR="00C1556C" w:rsidRPr="00C1556C">
        <w:rPr>
          <w:rFonts w:ascii="Times New Roman" w:eastAsia="Times New Roman" w:hAnsi="Times New Roman" w:cs="Times New Roman"/>
          <w:kern w:val="0"/>
          <w14:ligatures w14:val="none"/>
        </w:rPr>
        <w:t>health insurance coverage in accordance with the requirements and specifications set out in the tender document</w:t>
      </w:r>
      <w:r w:rsidRPr="00857652">
        <w:rPr>
          <w:rFonts w:ascii="Times New Roman" w:eastAsia="Times New Roman" w:hAnsi="Times New Roman" w:cs="Times New Roman"/>
          <w:kern w:val="0"/>
          <w14:ligatures w14:val="none"/>
        </w:rPr>
        <w:t xml:space="preserve"> for the University's full-time employees for FY2026/27.</w:t>
      </w:r>
    </w:p>
    <w:p w14:paraId="3D1D4C55"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UKH is seeking to appoint an insurance provider capable of delivering high-quality, reliable and cost-effective healthcare coverage, supported by a strong network of hospitals, clinics, laboratories and other healthcare providers.</w:t>
      </w:r>
    </w:p>
    <w:p w14:paraId="28061AE4"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1. Estimated Staff Population</w:t>
      </w:r>
    </w:p>
    <w:p w14:paraId="0D4277A5"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current full-time employee population is approximately 224 employees, based on the August 2026 payroll. UKH anticipates that an additional 20–35 full-time employees may join during FY2026/27 as current recruitment exercises are completed.</w:t>
      </w:r>
    </w:p>
    <w:p w14:paraId="49F4AE1D"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For quotation purposes, the current workforce demographic profile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5"/>
        <w:gridCol w:w="1160"/>
        <w:gridCol w:w="580"/>
        <w:gridCol w:w="822"/>
      </w:tblGrid>
      <w:tr w:rsidR="00857652" w:rsidRPr="00857652" w14:paraId="22A067F5" w14:textId="77777777">
        <w:trPr>
          <w:tblCellSpacing w:w="15" w:type="dxa"/>
        </w:trPr>
        <w:tc>
          <w:tcPr>
            <w:tcW w:w="0" w:type="auto"/>
            <w:vAlign w:val="center"/>
            <w:hideMark/>
          </w:tcPr>
          <w:p w14:paraId="4AC858B7" w14:textId="77777777" w:rsidR="00857652" w:rsidRPr="00857652" w:rsidRDefault="00857652" w:rsidP="00857652">
            <w:pPr>
              <w:spacing w:after="0" w:line="240" w:lineRule="auto"/>
              <w:jc w:val="center"/>
              <w:rPr>
                <w:rFonts w:ascii="Times New Roman" w:eastAsia="Times New Roman" w:hAnsi="Times New Roman" w:cs="Times New Roman"/>
                <w:b/>
                <w:bCs/>
                <w:kern w:val="0"/>
                <w14:ligatures w14:val="none"/>
              </w:rPr>
            </w:pPr>
            <w:r w:rsidRPr="00857652">
              <w:rPr>
                <w:rFonts w:ascii="Times New Roman" w:eastAsia="Times New Roman" w:hAnsi="Times New Roman" w:cs="Times New Roman"/>
                <w:b/>
                <w:bCs/>
                <w:kern w:val="0"/>
                <w14:ligatures w14:val="none"/>
              </w:rPr>
              <w:t>Age Range</w:t>
            </w:r>
          </w:p>
        </w:tc>
        <w:tc>
          <w:tcPr>
            <w:tcW w:w="0" w:type="auto"/>
            <w:vAlign w:val="center"/>
            <w:hideMark/>
          </w:tcPr>
          <w:p w14:paraId="03003794" w14:textId="77777777" w:rsidR="00857652" w:rsidRPr="00857652" w:rsidRDefault="00857652" w:rsidP="00857652">
            <w:pPr>
              <w:spacing w:after="0" w:line="240" w:lineRule="auto"/>
              <w:jc w:val="center"/>
              <w:rPr>
                <w:rFonts w:ascii="Times New Roman" w:eastAsia="Times New Roman" w:hAnsi="Times New Roman" w:cs="Times New Roman"/>
                <w:b/>
                <w:bCs/>
                <w:kern w:val="0"/>
                <w14:ligatures w14:val="none"/>
              </w:rPr>
            </w:pPr>
            <w:r w:rsidRPr="00857652">
              <w:rPr>
                <w:rFonts w:ascii="Times New Roman" w:eastAsia="Times New Roman" w:hAnsi="Times New Roman" w:cs="Times New Roman"/>
                <w:b/>
                <w:bCs/>
                <w:kern w:val="0"/>
                <w14:ligatures w14:val="none"/>
              </w:rPr>
              <w:t>Total Staff</w:t>
            </w:r>
          </w:p>
        </w:tc>
        <w:tc>
          <w:tcPr>
            <w:tcW w:w="0" w:type="auto"/>
            <w:vAlign w:val="center"/>
            <w:hideMark/>
          </w:tcPr>
          <w:p w14:paraId="3A60ED1A" w14:textId="77777777" w:rsidR="00857652" w:rsidRPr="00857652" w:rsidRDefault="00857652" w:rsidP="00857652">
            <w:pPr>
              <w:spacing w:after="0" w:line="240" w:lineRule="auto"/>
              <w:jc w:val="center"/>
              <w:rPr>
                <w:rFonts w:ascii="Times New Roman" w:eastAsia="Times New Roman" w:hAnsi="Times New Roman" w:cs="Times New Roman"/>
                <w:b/>
                <w:bCs/>
                <w:kern w:val="0"/>
                <w14:ligatures w14:val="none"/>
              </w:rPr>
            </w:pPr>
            <w:r w:rsidRPr="00857652">
              <w:rPr>
                <w:rFonts w:ascii="Times New Roman" w:eastAsia="Times New Roman" w:hAnsi="Times New Roman" w:cs="Times New Roman"/>
                <w:b/>
                <w:bCs/>
                <w:kern w:val="0"/>
                <w14:ligatures w14:val="none"/>
              </w:rPr>
              <w:t>Male</w:t>
            </w:r>
          </w:p>
        </w:tc>
        <w:tc>
          <w:tcPr>
            <w:tcW w:w="0" w:type="auto"/>
            <w:vAlign w:val="center"/>
            <w:hideMark/>
          </w:tcPr>
          <w:p w14:paraId="3374CB1A" w14:textId="77777777" w:rsidR="00857652" w:rsidRPr="00857652" w:rsidRDefault="00857652" w:rsidP="00857652">
            <w:pPr>
              <w:spacing w:after="0" w:line="240" w:lineRule="auto"/>
              <w:jc w:val="center"/>
              <w:rPr>
                <w:rFonts w:ascii="Times New Roman" w:eastAsia="Times New Roman" w:hAnsi="Times New Roman" w:cs="Times New Roman"/>
                <w:b/>
                <w:bCs/>
                <w:kern w:val="0"/>
                <w14:ligatures w14:val="none"/>
              </w:rPr>
            </w:pPr>
            <w:r w:rsidRPr="00857652">
              <w:rPr>
                <w:rFonts w:ascii="Times New Roman" w:eastAsia="Times New Roman" w:hAnsi="Times New Roman" w:cs="Times New Roman"/>
                <w:b/>
                <w:bCs/>
                <w:kern w:val="0"/>
                <w14:ligatures w14:val="none"/>
              </w:rPr>
              <w:t>Female</w:t>
            </w:r>
          </w:p>
        </w:tc>
      </w:tr>
      <w:tr w:rsidR="00857652" w:rsidRPr="00857652" w14:paraId="4E89025C" w14:textId="77777777">
        <w:trPr>
          <w:tblCellSpacing w:w="15" w:type="dxa"/>
        </w:trPr>
        <w:tc>
          <w:tcPr>
            <w:tcW w:w="0" w:type="auto"/>
            <w:vAlign w:val="center"/>
            <w:hideMark/>
          </w:tcPr>
          <w:p w14:paraId="7EC0EEBA"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20–30</w:t>
            </w:r>
          </w:p>
        </w:tc>
        <w:tc>
          <w:tcPr>
            <w:tcW w:w="0" w:type="auto"/>
            <w:vAlign w:val="center"/>
            <w:hideMark/>
          </w:tcPr>
          <w:p w14:paraId="4A9355C6"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48</w:t>
            </w:r>
          </w:p>
        </w:tc>
        <w:tc>
          <w:tcPr>
            <w:tcW w:w="0" w:type="auto"/>
            <w:vAlign w:val="center"/>
            <w:hideMark/>
          </w:tcPr>
          <w:p w14:paraId="114E5EAE"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23</w:t>
            </w:r>
          </w:p>
        </w:tc>
        <w:tc>
          <w:tcPr>
            <w:tcW w:w="0" w:type="auto"/>
            <w:vAlign w:val="center"/>
            <w:hideMark/>
          </w:tcPr>
          <w:p w14:paraId="0692F336"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25</w:t>
            </w:r>
          </w:p>
        </w:tc>
      </w:tr>
      <w:tr w:rsidR="00857652" w:rsidRPr="00857652" w14:paraId="2A3EDCC3" w14:textId="77777777">
        <w:trPr>
          <w:tblCellSpacing w:w="15" w:type="dxa"/>
        </w:trPr>
        <w:tc>
          <w:tcPr>
            <w:tcW w:w="0" w:type="auto"/>
            <w:vAlign w:val="center"/>
            <w:hideMark/>
          </w:tcPr>
          <w:p w14:paraId="792C4F8C"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31–40</w:t>
            </w:r>
          </w:p>
        </w:tc>
        <w:tc>
          <w:tcPr>
            <w:tcW w:w="0" w:type="auto"/>
            <w:vAlign w:val="center"/>
            <w:hideMark/>
          </w:tcPr>
          <w:p w14:paraId="33F49CAE"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72</w:t>
            </w:r>
          </w:p>
        </w:tc>
        <w:tc>
          <w:tcPr>
            <w:tcW w:w="0" w:type="auto"/>
            <w:vAlign w:val="center"/>
            <w:hideMark/>
          </w:tcPr>
          <w:p w14:paraId="4A2B8B90"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36</w:t>
            </w:r>
          </w:p>
        </w:tc>
        <w:tc>
          <w:tcPr>
            <w:tcW w:w="0" w:type="auto"/>
            <w:vAlign w:val="center"/>
            <w:hideMark/>
          </w:tcPr>
          <w:p w14:paraId="0395F0AD"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36</w:t>
            </w:r>
          </w:p>
        </w:tc>
      </w:tr>
      <w:tr w:rsidR="00857652" w:rsidRPr="00857652" w14:paraId="383EE821" w14:textId="77777777">
        <w:trPr>
          <w:tblCellSpacing w:w="15" w:type="dxa"/>
        </w:trPr>
        <w:tc>
          <w:tcPr>
            <w:tcW w:w="0" w:type="auto"/>
            <w:vAlign w:val="center"/>
            <w:hideMark/>
          </w:tcPr>
          <w:p w14:paraId="48A7FC5B"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41–50</w:t>
            </w:r>
          </w:p>
        </w:tc>
        <w:tc>
          <w:tcPr>
            <w:tcW w:w="0" w:type="auto"/>
            <w:vAlign w:val="center"/>
            <w:hideMark/>
          </w:tcPr>
          <w:p w14:paraId="6F890EE4"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48</w:t>
            </w:r>
          </w:p>
        </w:tc>
        <w:tc>
          <w:tcPr>
            <w:tcW w:w="0" w:type="auto"/>
            <w:vAlign w:val="center"/>
            <w:hideMark/>
          </w:tcPr>
          <w:p w14:paraId="780D26E1"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33</w:t>
            </w:r>
          </w:p>
        </w:tc>
        <w:tc>
          <w:tcPr>
            <w:tcW w:w="0" w:type="auto"/>
            <w:vAlign w:val="center"/>
            <w:hideMark/>
          </w:tcPr>
          <w:p w14:paraId="2B996EDD"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15</w:t>
            </w:r>
          </w:p>
        </w:tc>
      </w:tr>
      <w:tr w:rsidR="00857652" w:rsidRPr="00857652" w14:paraId="0049001E" w14:textId="77777777">
        <w:trPr>
          <w:tblCellSpacing w:w="15" w:type="dxa"/>
        </w:trPr>
        <w:tc>
          <w:tcPr>
            <w:tcW w:w="0" w:type="auto"/>
            <w:vAlign w:val="center"/>
            <w:hideMark/>
          </w:tcPr>
          <w:p w14:paraId="605C1DA4"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51–60</w:t>
            </w:r>
          </w:p>
        </w:tc>
        <w:tc>
          <w:tcPr>
            <w:tcW w:w="0" w:type="auto"/>
            <w:vAlign w:val="center"/>
            <w:hideMark/>
          </w:tcPr>
          <w:p w14:paraId="48EA0CBF"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39</w:t>
            </w:r>
          </w:p>
        </w:tc>
        <w:tc>
          <w:tcPr>
            <w:tcW w:w="0" w:type="auto"/>
            <w:vAlign w:val="center"/>
            <w:hideMark/>
          </w:tcPr>
          <w:p w14:paraId="55F7D201"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33</w:t>
            </w:r>
          </w:p>
        </w:tc>
        <w:tc>
          <w:tcPr>
            <w:tcW w:w="0" w:type="auto"/>
            <w:vAlign w:val="center"/>
            <w:hideMark/>
          </w:tcPr>
          <w:p w14:paraId="1F40494E"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6</w:t>
            </w:r>
          </w:p>
        </w:tc>
      </w:tr>
      <w:tr w:rsidR="00857652" w:rsidRPr="00857652" w14:paraId="54767F56" w14:textId="77777777">
        <w:trPr>
          <w:tblCellSpacing w:w="15" w:type="dxa"/>
        </w:trPr>
        <w:tc>
          <w:tcPr>
            <w:tcW w:w="0" w:type="auto"/>
            <w:vAlign w:val="center"/>
            <w:hideMark/>
          </w:tcPr>
          <w:p w14:paraId="0B963D04"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61–70</w:t>
            </w:r>
          </w:p>
        </w:tc>
        <w:tc>
          <w:tcPr>
            <w:tcW w:w="0" w:type="auto"/>
            <w:vAlign w:val="center"/>
            <w:hideMark/>
          </w:tcPr>
          <w:p w14:paraId="1DAF8C30"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14</w:t>
            </w:r>
          </w:p>
        </w:tc>
        <w:tc>
          <w:tcPr>
            <w:tcW w:w="0" w:type="auto"/>
            <w:vAlign w:val="center"/>
            <w:hideMark/>
          </w:tcPr>
          <w:p w14:paraId="72A1C519"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12</w:t>
            </w:r>
          </w:p>
        </w:tc>
        <w:tc>
          <w:tcPr>
            <w:tcW w:w="0" w:type="auto"/>
            <w:vAlign w:val="center"/>
            <w:hideMark/>
          </w:tcPr>
          <w:p w14:paraId="43133F77"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2</w:t>
            </w:r>
          </w:p>
        </w:tc>
      </w:tr>
      <w:tr w:rsidR="00857652" w:rsidRPr="00857652" w14:paraId="48C5110F" w14:textId="77777777">
        <w:trPr>
          <w:tblCellSpacing w:w="15" w:type="dxa"/>
        </w:trPr>
        <w:tc>
          <w:tcPr>
            <w:tcW w:w="0" w:type="auto"/>
            <w:vAlign w:val="center"/>
            <w:hideMark/>
          </w:tcPr>
          <w:p w14:paraId="60FFEE8A"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70 and above</w:t>
            </w:r>
          </w:p>
        </w:tc>
        <w:tc>
          <w:tcPr>
            <w:tcW w:w="0" w:type="auto"/>
            <w:vAlign w:val="center"/>
            <w:hideMark/>
          </w:tcPr>
          <w:p w14:paraId="556F1E57"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3</w:t>
            </w:r>
          </w:p>
        </w:tc>
        <w:tc>
          <w:tcPr>
            <w:tcW w:w="0" w:type="auto"/>
            <w:vAlign w:val="center"/>
            <w:hideMark/>
          </w:tcPr>
          <w:p w14:paraId="22EBD343"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2</w:t>
            </w:r>
          </w:p>
        </w:tc>
        <w:tc>
          <w:tcPr>
            <w:tcW w:w="0" w:type="auto"/>
            <w:vAlign w:val="center"/>
            <w:hideMark/>
          </w:tcPr>
          <w:p w14:paraId="4C147B25"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1</w:t>
            </w:r>
          </w:p>
        </w:tc>
      </w:tr>
      <w:tr w:rsidR="00857652" w:rsidRPr="00857652" w14:paraId="5E7A3E8E" w14:textId="77777777">
        <w:trPr>
          <w:tblCellSpacing w:w="15" w:type="dxa"/>
        </w:trPr>
        <w:tc>
          <w:tcPr>
            <w:tcW w:w="0" w:type="auto"/>
            <w:vAlign w:val="center"/>
            <w:hideMark/>
          </w:tcPr>
          <w:p w14:paraId="4B2C4564"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b/>
                <w:bCs/>
                <w:kern w:val="0"/>
                <w14:ligatures w14:val="none"/>
              </w:rPr>
              <w:t>Total</w:t>
            </w:r>
          </w:p>
        </w:tc>
        <w:tc>
          <w:tcPr>
            <w:tcW w:w="0" w:type="auto"/>
            <w:vAlign w:val="center"/>
            <w:hideMark/>
          </w:tcPr>
          <w:p w14:paraId="7C6ED81A"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b/>
                <w:bCs/>
                <w:kern w:val="0"/>
                <w14:ligatures w14:val="none"/>
              </w:rPr>
              <w:t>224</w:t>
            </w:r>
          </w:p>
        </w:tc>
        <w:tc>
          <w:tcPr>
            <w:tcW w:w="0" w:type="auto"/>
            <w:vAlign w:val="center"/>
            <w:hideMark/>
          </w:tcPr>
          <w:p w14:paraId="4365684A"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b/>
                <w:bCs/>
                <w:kern w:val="0"/>
                <w14:ligatures w14:val="none"/>
              </w:rPr>
              <w:t>139</w:t>
            </w:r>
          </w:p>
        </w:tc>
        <w:tc>
          <w:tcPr>
            <w:tcW w:w="0" w:type="auto"/>
            <w:vAlign w:val="center"/>
            <w:hideMark/>
          </w:tcPr>
          <w:p w14:paraId="245EA8B0" w14:textId="77777777" w:rsidR="00857652" w:rsidRPr="00857652" w:rsidRDefault="00857652" w:rsidP="00857652">
            <w:pPr>
              <w:spacing w:after="0"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b/>
                <w:bCs/>
                <w:kern w:val="0"/>
                <w14:ligatures w14:val="none"/>
              </w:rPr>
              <w:t>85</w:t>
            </w:r>
          </w:p>
        </w:tc>
      </w:tr>
    </w:tbl>
    <w:p w14:paraId="12BEA687"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above information is provided on an aggregated and anonymised basis solely to assist bidders in preparing their financial proposals.</w:t>
      </w:r>
    </w:p>
    <w:p w14:paraId="370753D3"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successful provider should be capable of accommodating changes in employee numbers during the policy period, including new joiners and leavers.</w:t>
      </w:r>
    </w:p>
    <w:p w14:paraId="2F2783C5"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2. Scope of Required Coverage</w:t>
      </w:r>
    </w:p>
    <w:p w14:paraId="19F6E64C"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Bidders are requested to provide details of their proposed health insurance package, including, but not limited to:</w:t>
      </w:r>
    </w:p>
    <w:p w14:paraId="2FEDC142"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Inpatient hospital treatment and surgical procedures;</w:t>
      </w:r>
    </w:p>
    <w:p w14:paraId="4F1BDE09"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lastRenderedPageBreak/>
        <w:t>Outpatient consultations and treatment;</w:t>
      </w:r>
    </w:p>
    <w:p w14:paraId="7B21F009"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Emergency medical treatment;</w:t>
      </w:r>
    </w:p>
    <w:p w14:paraId="60027145"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Diagnostic services, laboratory tests and medical imaging;</w:t>
      </w:r>
    </w:p>
    <w:p w14:paraId="58C04266"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Prescription medicines and pharmaceuticals;</w:t>
      </w:r>
    </w:p>
    <w:p w14:paraId="62C03731"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Maternity-related coverage, where available;</w:t>
      </w:r>
    </w:p>
    <w:p w14:paraId="03124179"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Dental and optical benefits, where available;</w:t>
      </w:r>
    </w:p>
    <w:p w14:paraId="6E667D4B"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Treatment of chronic and pre-existing medical conditions;</w:t>
      </w:r>
    </w:p>
    <w:p w14:paraId="6CE1AB3E"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Annual health checks and preventative healthcare, where available;</w:t>
      </w:r>
    </w:p>
    <w:p w14:paraId="28736A2D"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Emergency ambulance services;</w:t>
      </w:r>
    </w:p>
    <w:p w14:paraId="6EBD158A"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Geographical coverage, including treatment within the Kurdistan Region, Iraq and, where offered, international treatment;</w:t>
      </w:r>
    </w:p>
    <w:p w14:paraId="66F03D20"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Hospital, clinic, laboratory and pharmacy networks;</w:t>
      </w:r>
    </w:p>
    <w:p w14:paraId="2965E758"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Referral and pre-authorisation arrangements;</w:t>
      </w:r>
    </w:p>
    <w:p w14:paraId="4568D1F7"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Emergency treatment outside the approved provider network; and</w:t>
      </w:r>
    </w:p>
    <w:p w14:paraId="614BD702" w14:textId="77777777" w:rsidR="00857652" w:rsidRPr="00857652" w:rsidRDefault="00857652" w:rsidP="0085765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Any additional medical or wellbeing benefits offered by the insurer.</w:t>
      </w:r>
    </w:p>
    <w:p w14:paraId="35843F3E"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Bidders should clearly identify the benefits included within their proposal and any applicable annual limits, sub-limits, co-payments, deductibles, waiting periods or other conditions.</w:t>
      </w:r>
    </w:p>
    <w:p w14:paraId="2D7B0D5C" w14:textId="77777777" w:rsidR="00857652" w:rsidRPr="00857652" w:rsidRDefault="00857652" w:rsidP="00857652">
      <w:pPr>
        <w:spacing w:before="100" w:beforeAutospacing="1" w:after="100" w:afterAutospacing="1" w:line="240" w:lineRule="auto"/>
        <w:jc w:val="both"/>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3. Exclusions and Limitations</w:t>
      </w:r>
    </w:p>
    <w:p w14:paraId="64BC421C"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Bidders must provide a clear and comprehensive schedule of:</w:t>
      </w:r>
    </w:p>
    <w:p w14:paraId="25411526"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Policy exclusions;</w:t>
      </w:r>
    </w:p>
    <w:p w14:paraId="4CD518A3"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Coverage limits and sub-limits;</w:t>
      </w:r>
    </w:p>
    <w:p w14:paraId="261F0A25"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Waiting periods;</w:t>
      </w:r>
    </w:p>
    <w:p w14:paraId="0FD4FA9F"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Treatment or conditions requiring prior approval;</w:t>
      </w:r>
    </w:p>
    <w:p w14:paraId="789F5CAE"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Restrictions relating to pre-existing or chronic conditions;</w:t>
      </w:r>
    </w:p>
    <w:p w14:paraId="14B384E3"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Employee co-payments or deductibles, if applicable; and</w:t>
      </w:r>
    </w:p>
    <w:p w14:paraId="45FDADBD" w14:textId="77777777" w:rsidR="00857652" w:rsidRPr="00857652" w:rsidRDefault="00857652" w:rsidP="00857652">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Any other material restrictions affecting employee access to healthcare.</w:t>
      </w:r>
    </w:p>
    <w:p w14:paraId="2FFF0B1F"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UKH places particular importance on transparency regarding exclusions and limitations.</w:t>
      </w:r>
    </w:p>
    <w:p w14:paraId="665A6778"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4. Provider Network and Service Delivery</w:t>
      </w:r>
    </w:p>
    <w:p w14:paraId="3540642D"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Bidders should provide details of their healthcare provider network, including major hospitals and healthcare facilities available to insured employees within Erbil and the Kurdistan Region.</w:t>
      </w:r>
    </w:p>
    <w:p w14:paraId="024FD650"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Proposals should also explain:</w:t>
      </w:r>
    </w:p>
    <w:p w14:paraId="4BDD64DF"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process for obtaining treatment;</w:t>
      </w:r>
    </w:p>
    <w:p w14:paraId="0773A67E"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Whether employees receive insurance cards or electronic membership credentials;</w:t>
      </w:r>
    </w:p>
    <w:p w14:paraId="7AC6F454"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Claims and reimbursement procedures;</w:t>
      </w:r>
    </w:p>
    <w:p w14:paraId="3D984270"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Emergency support arrangements;</w:t>
      </w:r>
    </w:p>
    <w:p w14:paraId="15398959"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Customer service/contact centre arrangements;</w:t>
      </w:r>
    </w:p>
    <w:p w14:paraId="5B56D9D2"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Procedures for resolving employee complaints or disputed claims; and</w:t>
      </w:r>
    </w:p>
    <w:p w14:paraId="2DEF39DD" w14:textId="77777777" w:rsidR="00857652" w:rsidRPr="00857652" w:rsidRDefault="00857652" w:rsidP="00857652">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lastRenderedPageBreak/>
        <w:t>Expected turnaround times for approvals, reimbursements and other key services.</w:t>
      </w:r>
    </w:p>
    <w:p w14:paraId="4D8B8E54"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5. Financial Proposal</w:t>
      </w:r>
    </w:p>
    <w:p w14:paraId="7DE00B72"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financial proposal should clearly state:</w:t>
      </w:r>
    </w:p>
    <w:p w14:paraId="172419F0"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Annual premium per employee and/or total annual premium;</w:t>
      </w:r>
    </w:p>
    <w:p w14:paraId="5F03DA09"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Any differentiation in premium by age or other demographic category;</w:t>
      </w:r>
    </w:p>
    <w:p w14:paraId="31D080E8"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All taxes, fees, commissions and other charges;</w:t>
      </w:r>
    </w:p>
    <w:p w14:paraId="26EE24DE"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treatment of employees joining or leaving UKH during the policy year;</w:t>
      </w:r>
    </w:p>
    <w:p w14:paraId="1909114C"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Any pro-rata premium/refund arrangements;</w:t>
      </w:r>
    </w:p>
    <w:p w14:paraId="0BE95060"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Payment terms and schedule; and</w:t>
      </w:r>
    </w:p>
    <w:p w14:paraId="10BD3C75" w14:textId="77777777" w:rsidR="00857652" w:rsidRPr="00857652" w:rsidRDefault="00857652" w:rsidP="00857652">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period for which the submitted quotation will remain valid.</w:t>
      </w:r>
    </w:p>
    <w:p w14:paraId="46C51637"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All costs should be clearly stated, with no undisclosed or additional charges.</w:t>
      </w:r>
    </w:p>
    <w:p w14:paraId="11F22149"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6. Bidder Qualifications</w:t>
      </w:r>
    </w:p>
    <w:p w14:paraId="10F3B72D"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Interested bidders should provide evidence of:</w:t>
      </w:r>
    </w:p>
    <w:p w14:paraId="70C70207"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Appropriate licensing and authorisation to provide health insurance services;</w:t>
      </w:r>
    </w:p>
    <w:p w14:paraId="1DA5A7BA"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Relevant experience in providing corporate/group health insurance;</w:t>
      </w:r>
    </w:p>
    <w:p w14:paraId="772054AC"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Financial and operational capacity to administer a scheme of this size;</w:t>
      </w:r>
    </w:p>
    <w:p w14:paraId="2E5D3CFA"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 established healthcare provider network;</w:t>
      </w:r>
    </w:p>
    <w:p w14:paraId="49F90B47"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Experience serving universities, public institutions, large employers or comparable organisations, where applicable;</w:t>
      </w:r>
    </w:p>
    <w:p w14:paraId="72326F11"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Appropriate customer service and claims management arrangements; and</w:t>
      </w:r>
    </w:p>
    <w:p w14:paraId="13DBDBEF" w14:textId="77777777" w:rsidR="00857652" w:rsidRPr="00857652" w:rsidRDefault="00857652" w:rsidP="0085765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References from existing or recent corporate clients.</w:t>
      </w:r>
    </w:p>
    <w:p w14:paraId="749123EE"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7. Evaluation of Proposals</w:t>
      </w:r>
    </w:p>
    <w:p w14:paraId="7F1C65EE"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Proposals will be evaluated on the basis of overall value for money rather than price alone.</w:t>
      </w:r>
    </w:p>
    <w:p w14:paraId="7F7F610E"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UKH's evaluation may take into consideration:</w:t>
      </w:r>
    </w:p>
    <w:p w14:paraId="54BB5131"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Financial competitiveness of the proposal;</w:t>
      </w:r>
    </w:p>
    <w:p w14:paraId="3126AF6D"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Scope and quality of medical coverage;</w:t>
      </w:r>
    </w:p>
    <w:p w14:paraId="3424AE48"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Coverage limits and benefits;</w:t>
      </w:r>
    </w:p>
    <w:p w14:paraId="7E3ED725"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Exclusions and restrictions;</w:t>
      </w:r>
    </w:p>
    <w:p w14:paraId="4BD0A239"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Treatment of pre-existing and chronic conditions;</w:t>
      </w:r>
    </w:p>
    <w:p w14:paraId="1DEC413F"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Quality and accessibility of the healthcare provider network;</w:t>
      </w:r>
    </w:p>
    <w:p w14:paraId="0B8FCDE1"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Geographical coverage;</w:t>
      </w:r>
    </w:p>
    <w:p w14:paraId="26D9E8DD"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Claims and pre-authorisation arrangements;</w:t>
      </w:r>
    </w:p>
    <w:p w14:paraId="10C71BA3"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Customer service and operational support;</w:t>
      </w:r>
    </w:p>
    <w:p w14:paraId="417BFC47"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Experience, capacity and reputation of the bidder; and</w:t>
      </w:r>
    </w:p>
    <w:p w14:paraId="4C8A153F" w14:textId="77777777" w:rsidR="00857652" w:rsidRPr="00857652" w:rsidRDefault="00857652" w:rsidP="0085765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Any additional benefits or services offered to UKH employees.</w:t>
      </w:r>
    </w:p>
    <w:p w14:paraId="685DE97A"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lastRenderedPageBreak/>
        <w:t>UKH may seek clarification from bidders and may request additional information as part of the evaluation process.</w:t>
      </w:r>
    </w:p>
    <w:p w14:paraId="75D2D41E"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8. Submission Requirements</w:t>
      </w:r>
    </w:p>
    <w:p w14:paraId="34208B32"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Interested insurance providers should submit separate Technical and Financial Proposals.</w:t>
      </w:r>
    </w:p>
    <w:p w14:paraId="5F88C039"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Technical Proposal should include the proposed coverage, benefits, limits, exclusions, healthcare provider network, service arrangements and supporting company information.</w:t>
      </w:r>
    </w:p>
    <w:p w14:paraId="1C433A5A"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Financial Proposal should provide a clear breakdown of the proposed premium and all associated costs.</w:t>
      </w:r>
    </w:p>
    <w:p w14:paraId="5A225AE5" w14:textId="77777777" w:rsid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Proposals should be submitted in accordance with the instructions below:</w:t>
      </w:r>
    </w:p>
    <w:p w14:paraId="27F466EE" w14:textId="77777777" w:rsidR="00043785" w:rsidRDefault="000E66B5" w:rsidP="00043785">
      <w:pPr>
        <w:rPr>
          <w:rFonts w:ascii="Times New Roman" w:eastAsia="Times New Roman" w:hAnsi="Times New Roman" w:cs="Times New Roman"/>
          <w:kern w:val="0"/>
          <w14:ligatures w14:val="none"/>
        </w:rPr>
      </w:pPr>
      <w:r w:rsidRPr="000E66B5">
        <w:rPr>
          <w:rFonts w:ascii="Times New Roman" w:eastAsia="Times New Roman" w:hAnsi="Times New Roman" w:cs="Times New Roman"/>
          <w:kern w:val="0"/>
          <w14:ligatures w14:val="none"/>
        </w:rPr>
        <w:t>Tender Reference: UKH-HR-20260927</w:t>
      </w:r>
      <w:r w:rsidRPr="000E66B5">
        <w:rPr>
          <w:rFonts w:ascii="Times New Roman" w:eastAsia="Times New Roman" w:hAnsi="Times New Roman" w:cs="Times New Roman"/>
          <w:kern w:val="0"/>
          <w14:ligatures w14:val="none"/>
        </w:rPr>
        <w:br/>
        <w:t>Submission Deadline: 11 October 2026 at 4 P.M.</w:t>
      </w:r>
      <w:r w:rsidRPr="000E66B5">
        <w:rPr>
          <w:rFonts w:ascii="Times New Roman" w:eastAsia="Times New Roman" w:hAnsi="Times New Roman" w:cs="Times New Roman"/>
          <w:kern w:val="0"/>
          <w14:ligatures w14:val="none"/>
        </w:rPr>
        <w:br/>
        <w:t xml:space="preserve">Submission Method: Sealed envelope to UKH Procurement Department </w:t>
      </w:r>
    </w:p>
    <w:p w14:paraId="7305F8FA" w14:textId="7C92D4A3" w:rsidR="00857652" w:rsidRPr="00857652" w:rsidRDefault="00857652" w:rsidP="00043785">
      <w:pPr>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 xml:space="preserve">Tender Enquiries: </w:t>
      </w:r>
      <w:r w:rsidR="000E66B5">
        <w:rPr>
          <w:rFonts w:ascii="Times New Roman" w:eastAsia="Times New Roman" w:hAnsi="Times New Roman" w:cs="Times New Roman"/>
          <w:kern w:val="0"/>
          <w14:ligatures w14:val="none"/>
        </w:rPr>
        <w:t xml:space="preserve">Please contact: </w:t>
      </w:r>
      <w:hyperlink r:id="rId5" w:history="1">
        <w:r w:rsidR="000E66B5" w:rsidRPr="000E66B5">
          <w:rPr>
            <w:rFonts w:ascii="Times New Roman" w:eastAsia="Times New Roman" w:hAnsi="Times New Roman" w:cs="Times New Roman"/>
            <w:kern w:val="0"/>
            <w14:ligatures w14:val="none"/>
          </w:rPr>
          <w:t>procurement@ukh.edu.krd</w:t>
        </w:r>
      </w:hyperlink>
      <w:r w:rsidR="000E66B5">
        <w:rPr>
          <w:rFonts w:ascii="Times New Roman" w:eastAsia="Times New Roman" w:hAnsi="Times New Roman" w:cs="Times New Roman"/>
          <w:kern w:val="0"/>
          <w14:ligatures w14:val="none"/>
        </w:rPr>
        <w:t xml:space="preserve"> </w:t>
      </w:r>
    </w:p>
    <w:p w14:paraId="472D7D57"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9. Confidentiality and Employee Information</w:t>
      </w:r>
    </w:p>
    <w:p w14:paraId="372E4973"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No personally identifiable employee information is being disclosed as part of this tender advertisement.</w:t>
      </w:r>
    </w:p>
    <w:p w14:paraId="05C48843" w14:textId="77777777" w:rsidR="00857652" w:rsidRPr="00857652" w:rsidRDefault="00857652" w:rsidP="00857652">
      <w:pPr>
        <w:spacing w:before="100" w:beforeAutospacing="1" w:after="100" w:afterAutospacing="1" w:line="240" w:lineRule="auto"/>
        <w:jc w:val="both"/>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Workforce information provided for quotation purposes is aggregated and anonymised. Any additional employee information subsequently required by the successful provider will be managed by UKH in accordance with applicable University policies, confidentiality requirements and appropriate legal and administrative approvals.</w:t>
      </w:r>
    </w:p>
    <w:p w14:paraId="5FAC30C1" w14:textId="77777777" w:rsidR="00857652" w:rsidRPr="00857652" w:rsidRDefault="00857652" w:rsidP="0085765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857652">
        <w:rPr>
          <w:rFonts w:ascii="Times New Roman" w:eastAsia="Times New Roman" w:hAnsi="Times New Roman" w:cs="Times New Roman"/>
          <w:b/>
          <w:bCs/>
          <w:kern w:val="0"/>
          <w:sz w:val="27"/>
          <w:szCs w:val="27"/>
          <w:u w:val="single"/>
          <w14:ligatures w14:val="none"/>
        </w:rPr>
        <w:t>10. General Conditions</w:t>
      </w:r>
    </w:p>
    <w:p w14:paraId="6BD741B7"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UKH reserves the right to seek clarification or additional information from bidders during the evaluation process and to negotiate or clarify aspects of the proposed coverage where appropriate.</w:t>
      </w:r>
    </w:p>
    <w:p w14:paraId="3C00EF02"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issuance of this Invitation to Tender does not commit UKH to accept the lowest-priced proposal or any proposal received. UKH reserves the right to accept or reject proposals in accordance with its policies and procurement requirements.</w:t>
      </w:r>
    </w:p>
    <w:p w14:paraId="0ADDFE5D"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kern w:val="0"/>
          <w14:ligatures w14:val="none"/>
        </w:rPr>
        <w:t>The successful bidder will be required to enter into a formal agreement with the University setting out the agreed coverage, premiums, service standards and contractual terms.</w:t>
      </w:r>
    </w:p>
    <w:p w14:paraId="0173F913" w14:textId="77777777" w:rsidR="00857652" w:rsidRPr="00857652" w:rsidRDefault="00857652" w:rsidP="00857652">
      <w:pPr>
        <w:spacing w:before="100" w:beforeAutospacing="1" w:after="100" w:afterAutospacing="1" w:line="240" w:lineRule="auto"/>
        <w:rPr>
          <w:rFonts w:ascii="Times New Roman" w:eastAsia="Times New Roman" w:hAnsi="Times New Roman" w:cs="Times New Roman"/>
          <w:kern w:val="0"/>
          <w14:ligatures w14:val="none"/>
        </w:rPr>
      </w:pPr>
      <w:r w:rsidRPr="00857652">
        <w:rPr>
          <w:rFonts w:ascii="Times New Roman" w:eastAsia="Times New Roman" w:hAnsi="Times New Roman" w:cs="Times New Roman"/>
          <w:b/>
          <w:bCs/>
          <w:kern w:val="0"/>
          <w14:ligatures w14:val="none"/>
        </w:rPr>
        <w:t>University of Kurdistan Hewler (UKH)</w:t>
      </w:r>
      <w:r w:rsidRPr="00857652">
        <w:rPr>
          <w:rFonts w:ascii="Times New Roman" w:eastAsia="Times New Roman" w:hAnsi="Times New Roman" w:cs="Times New Roman"/>
          <w:kern w:val="0"/>
          <w14:ligatures w14:val="none"/>
        </w:rPr>
        <w:br/>
        <w:t>Erbil, Kurdistan Region of Iraq</w:t>
      </w:r>
    </w:p>
    <w:sectPr w:rsidR="00857652" w:rsidRPr="00857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C1C05"/>
    <w:multiLevelType w:val="multilevel"/>
    <w:tmpl w:val="4EC0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E06C5"/>
    <w:multiLevelType w:val="multilevel"/>
    <w:tmpl w:val="BD66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CC0DEC"/>
    <w:multiLevelType w:val="multilevel"/>
    <w:tmpl w:val="7896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3B3D78"/>
    <w:multiLevelType w:val="multilevel"/>
    <w:tmpl w:val="B3C6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93265"/>
    <w:multiLevelType w:val="multilevel"/>
    <w:tmpl w:val="207E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807A1"/>
    <w:multiLevelType w:val="multilevel"/>
    <w:tmpl w:val="D134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245168">
    <w:abstractNumId w:val="0"/>
  </w:num>
  <w:num w:numId="2" w16cid:durableId="1200238026">
    <w:abstractNumId w:val="3"/>
  </w:num>
  <w:num w:numId="3" w16cid:durableId="455490988">
    <w:abstractNumId w:val="2"/>
  </w:num>
  <w:num w:numId="4" w16cid:durableId="260842764">
    <w:abstractNumId w:val="1"/>
  </w:num>
  <w:num w:numId="5" w16cid:durableId="740711926">
    <w:abstractNumId w:val="4"/>
  </w:num>
  <w:num w:numId="6" w16cid:durableId="1608074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652"/>
    <w:rsid w:val="00043785"/>
    <w:rsid w:val="000E66B5"/>
    <w:rsid w:val="00334E10"/>
    <w:rsid w:val="00857652"/>
    <w:rsid w:val="00A14ED8"/>
    <w:rsid w:val="00A71533"/>
    <w:rsid w:val="00A8513E"/>
    <w:rsid w:val="00C15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3795D"/>
  <w15:chartTrackingRefBased/>
  <w15:docId w15:val="{CBA747CD-3933-4498-9676-A83DCAE34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652"/>
    <w:rPr>
      <w:rFonts w:eastAsiaTheme="majorEastAsia" w:cstheme="majorBidi"/>
      <w:color w:val="272727" w:themeColor="text1" w:themeTint="D8"/>
    </w:rPr>
  </w:style>
  <w:style w:type="paragraph" w:styleId="Title">
    <w:name w:val="Title"/>
    <w:basedOn w:val="Normal"/>
    <w:next w:val="Normal"/>
    <w:link w:val="TitleChar"/>
    <w:uiPriority w:val="10"/>
    <w:qFormat/>
    <w:rsid w:val="00857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652"/>
    <w:pPr>
      <w:spacing w:before="160"/>
      <w:jc w:val="center"/>
    </w:pPr>
    <w:rPr>
      <w:i/>
      <w:iCs/>
      <w:color w:val="404040" w:themeColor="text1" w:themeTint="BF"/>
    </w:rPr>
  </w:style>
  <w:style w:type="character" w:customStyle="1" w:styleId="QuoteChar">
    <w:name w:val="Quote Char"/>
    <w:basedOn w:val="DefaultParagraphFont"/>
    <w:link w:val="Quote"/>
    <w:uiPriority w:val="29"/>
    <w:rsid w:val="00857652"/>
    <w:rPr>
      <w:i/>
      <w:iCs/>
      <w:color w:val="404040" w:themeColor="text1" w:themeTint="BF"/>
    </w:rPr>
  </w:style>
  <w:style w:type="paragraph" w:styleId="ListParagraph">
    <w:name w:val="List Paragraph"/>
    <w:basedOn w:val="Normal"/>
    <w:uiPriority w:val="34"/>
    <w:qFormat/>
    <w:rsid w:val="00857652"/>
    <w:pPr>
      <w:ind w:left="720"/>
      <w:contextualSpacing/>
    </w:pPr>
  </w:style>
  <w:style w:type="character" w:styleId="IntenseEmphasis">
    <w:name w:val="Intense Emphasis"/>
    <w:basedOn w:val="DefaultParagraphFont"/>
    <w:uiPriority w:val="21"/>
    <w:qFormat/>
    <w:rsid w:val="00857652"/>
    <w:rPr>
      <w:i/>
      <w:iCs/>
      <w:color w:val="0F4761" w:themeColor="accent1" w:themeShade="BF"/>
    </w:rPr>
  </w:style>
  <w:style w:type="paragraph" w:styleId="IntenseQuote">
    <w:name w:val="Intense Quote"/>
    <w:basedOn w:val="Normal"/>
    <w:next w:val="Normal"/>
    <w:link w:val="IntenseQuoteChar"/>
    <w:uiPriority w:val="30"/>
    <w:qFormat/>
    <w:rsid w:val="00857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652"/>
    <w:rPr>
      <w:i/>
      <w:iCs/>
      <w:color w:val="0F4761" w:themeColor="accent1" w:themeShade="BF"/>
    </w:rPr>
  </w:style>
  <w:style w:type="character" w:styleId="IntenseReference">
    <w:name w:val="Intense Reference"/>
    <w:basedOn w:val="DefaultParagraphFont"/>
    <w:uiPriority w:val="32"/>
    <w:qFormat/>
    <w:rsid w:val="00857652"/>
    <w:rPr>
      <w:b/>
      <w:bCs/>
      <w:smallCaps/>
      <w:color w:val="0F4761" w:themeColor="accent1" w:themeShade="BF"/>
      <w:spacing w:val="5"/>
    </w:rPr>
  </w:style>
  <w:style w:type="character" w:styleId="Hyperlink">
    <w:name w:val="Hyperlink"/>
    <w:basedOn w:val="DefaultParagraphFont"/>
    <w:uiPriority w:val="99"/>
    <w:unhideWhenUsed/>
    <w:rsid w:val="000E66B5"/>
    <w:rPr>
      <w:color w:val="467886" w:themeColor="hyperlink"/>
      <w:u w:val="single"/>
    </w:rPr>
  </w:style>
  <w:style w:type="character" w:styleId="UnresolvedMention">
    <w:name w:val="Unresolved Mention"/>
    <w:basedOn w:val="DefaultParagraphFont"/>
    <w:uiPriority w:val="99"/>
    <w:semiHidden/>
    <w:unhideWhenUsed/>
    <w:rsid w:val="000E6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urement@ukh.edu.kr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Hashmi</dc:creator>
  <cp:keywords/>
  <dc:description/>
  <cp:lastModifiedBy>Hawker Asaad</cp:lastModifiedBy>
  <cp:revision>4</cp:revision>
  <dcterms:created xsi:type="dcterms:W3CDTF">2026-09-23T09:29:00Z</dcterms:created>
  <dcterms:modified xsi:type="dcterms:W3CDTF">2026-09-27T12:13:00Z</dcterms:modified>
</cp:coreProperties>
</file>